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[Member of Congress] -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As a constituent who lives in [State/District], I am writing to share my interest in the future of sustainable seafood.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represent [name &amp; size of business]. Seafood is important to my business, and my community.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There are a number of key policies that impact U.S. fisheries, working waterfronts, seafood businesses and their future. That future is affected by changing ecosystems, a growing global population, and increased interest in seafood as part of a healthy diet.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U.S. has been the leader for sustainable seafood worldwide. As we seek to manage the future of U.S. seafood, these policies should work together to ensure healthy oceans and fisheries can provide food security and economic opportunity for generations to come.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Thank you for supporting the policies that prioritize sustainable seafood from sea to plate.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Sincerely,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